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85" w:line="254" w:lineRule="auto"/>
        <w:ind w:left="2433" w:right="2428" w:firstLine="0"/>
        <w:jc w:val="center"/>
        <w:rPr>
          <w:sz w:val="24"/>
          <w:szCs w:val="24"/>
        </w:rPr>
      </w:pPr>
      <w:r w:rsidDel="00000000" w:rsidR="00000000" w:rsidRPr="00000000">
        <w:rPr>
          <w:b w:val="1"/>
          <w:sz w:val="24"/>
          <w:szCs w:val="24"/>
          <w:rtl w:val="0"/>
        </w:rPr>
        <w:t xml:space="preserve">Appendix A - Evaluation of Students in the Graduate Program In the Department of Physics and Astronomy</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 w:lineRule="auto"/>
        <w:rPr>
          <w:color w:val="000000"/>
          <w:sz w:val="16"/>
          <w:szCs w:val="1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0" w:line="240" w:lineRule="auto"/>
        <w:ind w:left="504" w:right="0" w:hanging="36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Annual Student Evaluations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20" w:line="254" w:lineRule="auto"/>
        <w:jc w:val="both"/>
        <w:rPr>
          <w:color w:val="000000"/>
          <w:sz w:val="24"/>
          <w:szCs w:val="24"/>
        </w:rPr>
      </w:pPr>
      <w:r w:rsidDel="00000000" w:rsidR="00000000" w:rsidRPr="00000000">
        <w:rPr>
          <w:color w:val="000000"/>
          <w:sz w:val="24"/>
          <w:szCs w:val="24"/>
          <w:rtl w:val="0"/>
        </w:rPr>
        <w:t xml:space="preserve">The progress of students will be evaluated annually during the fall semester by the GSEC. The evaluations can be as follows: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 w:lineRule="auto"/>
        <w:rPr>
          <w:color w:val="000000"/>
          <w:sz w:val="25"/>
          <w:szCs w:val="25"/>
        </w:rPr>
      </w:pPr>
      <w:r w:rsidDel="00000000" w:rsidR="00000000" w:rsidRPr="00000000">
        <w:rPr>
          <w:rtl w:val="0"/>
        </w:rPr>
      </w:r>
    </w:p>
    <w:tbl>
      <w:tblPr>
        <w:tblStyle w:val="Table1"/>
        <w:tblW w:w="7126.0" w:type="dxa"/>
        <w:jc w:val="left"/>
        <w:tblInd w:w="1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4"/>
        <w:gridCol w:w="6392"/>
        <w:tblGridChange w:id="0">
          <w:tblGrid>
            <w:gridCol w:w="734"/>
            <w:gridCol w:w="6392"/>
          </w:tblGrid>
        </w:tblGridChange>
      </w:tblGrid>
      <w:tr>
        <w:trPr>
          <w:cantSplit w:val="0"/>
          <w:trHeight w:val="585" w:hRule="atLeast"/>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5" w:lineRule="auto"/>
              <w:ind w:left="105" w:firstLine="0"/>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5" w:lineRule="auto"/>
              <w:ind w:left="110" w:firstLine="0"/>
              <w:rPr>
                <w:color w:val="000000"/>
                <w:sz w:val="24"/>
                <w:szCs w:val="24"/>
              </w:rPr>
            </w:pPr>
            <w:r w:rsidDel="00000000" w:rsidR="00000000" w:rsidRPr="00000000">
              <w:rPr>
                <w:color w:val="000000"/>
                <w:sz w:val="24"/>
                <w:szCs w:val="24"/>
                <w:rtl w:val="0"/>
              </w:rPr>
              <w:t xml:space="preserve">Satisfactory progress toward the program, or</w:t>
            </w:r>
          </w:p>
        </w:tc>
      </w:tr>
      <w:tr>
        <w:trPr>
          <w:cantSplit w:val="0"/>
          <w:trHeight w:val="590"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5" w:lineRule="auto"/>
              <w:ind w:left="105" w:firstLine="0"/>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5" w:lineRule="auto"/>
              <w:ind w:left="110" w:firstLine="0"/>
              <w:rPr>
                <w:color w:val="000000"/>
                <w:sz w:val="24"/>
                <w:szCs w:val="24"/>
              </w:rPr>
            </w:pPr>
            <w:r w:rsidDel="00000000" w:rsidR="00000000" w:rsidRPr="00000000">
              <w:rPr>
                <w:color w:val="000000"/>
                <w:sz w:val="24"/>
                <w:szCs w:val="24"/>
                <w:rtl w:val="0"/>
              </w:rPr>
              <w:t xml:space="preserve">Unsatisfactory progress toward the program</w:t>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0" w:lineRule="auto"/>
        <w:rPr>
          <w:color w:val="000000"/>
          <w:sz w:val="25"/>
          <w:szCs w:val="25"/>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Evaluations for all students will be based on research progress, course grades, opinions of the faculty teaching courses in which the student is enrolled, the student’s transcript, and one or more meetings between the GSEC and the student, as deemed necessary. Information about research accomplishments provided to the GSEC by the student and the student’s research advisor, if one has been chosen, will be considered as well.</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20" w:lineRule="auto"/>
        <w:jc w:val="both"/>
        <w:rPr>
          <w:color w:val="000000"/>
          <w:sz w:val="24"/>
          <w:szCs w:val="24"/>
        </w:rPr>
      </w:pPr>
      <w:r w:rsidDel="00000000" w:rsidR="00000000" w:rsidRPr="00000000">
        <w:rPr>
          <w:color w:val="000000"/>
          <w:sz w:val="24"/>
          <w:szCs w:val="24"/>
          <w:rtl w:val="0"/>
        </w:rPr>
        <w:t xml:space="preserve">Satisfactory progress toward the Ph.D. degree would typically include grades no lower than B in courses. Factors contributing to grades lower than B will be evaluated on an individual case basis.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20" w:line="254" w:lineRule="auto"/>
        <w:ind w:right="14"/>
        <w:jc w:val="both"/>
        <w:rPr>
          <w:color w:val="000000"/>
          <w:sz w:val="24"/>
          <w:szCs w:val="24"/>
        </w:rPr>
      </w:pPr>
      <w:r w:rsidDel="00000000" w:rsidR="00000000" w:rsidRPr="00000000">
        <w:rPr>
          <w:color w:val="000000"/>
          <w:sz w:val="24"/>
          <w:szCs w:val="24"/>
          <w:rtl w:val="0"/>
        </w:rPr>
        <w:t xml:space="preserve">Students who seek only a Masters degree carry out their research as part of Physics 8910 for the thesis option. Students in the Ph.D. program carry out their research as part of Physics 9910. The student can change his or her research professor at a later date, if desired. MS students shall complete their GS2 by the end of their first year and Ph.D. students shall complete their GS2 no later than the end of their second year. Ph.D. students shall provide an annual update on their research to their committee, and the committee shall review the student using the Faculty Evaluation Form. The result of the evaluation made by the GSEC will be reported to the Department Chair, to the student’s research committee, if a committee has been constituted, to the Department’s Graduate Student Advisor, and to the student. In addition, a summary of the overall results of the evaluation process will be reported to the Physics and Astronomy faculty after the annual evaluations have been completed.</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6" w:lineRule="auto"/>
        <w:rPr>
          <w:color w:val="000000"/>
          <w:sz w:val="25"/>
          <w:szCs w:val="25"/>
        </w:rPr>
      </w:pPr>
      <w:r w:rsidDel="00000000" w:rsidR="00000000" w:rsidRPr="00000000">
        <w:rPr>
          <w:rtl w:val="0"/>
        </w:rPr>
      </w:r>
    </w:p>
    <w:p w:rsidR="00000000" w:rsidDel="00000000" w:rsidP="00000000" w:rsidRDefault="00000000" w:rsidRPr="00000000" w14:paraId="0000000F">
      <w:pPr>
        <w:pStyle w:val="Heading1"/>
        <w:numPr>
          <w:ilvl w:val="0"/>
          <w:numId w:val="1"/>
        </w:numPr>
        <w:tabs>
          <w:tab w:val="left" w:leader="none" w:pos="819"/>
          <w:tab w:val="left" w:leader="none" w:pos="820"/>
        </w:tabs>
        <w:ind w:left="432" w:hanging="432"/>
        <w:rPr/>
      </w:pPr>
      <w:r w:rsidDel="00000000" w:rsidR="00000000" w:rsidRPr="00000000">
        <w:rPr>
          <w:rtl w:val="0"/>
        </w:rPr>
        <w:t xml:space="preserve">Placement</w:t>
      </w:r>
      <w:r w:rsidDel="00000000" w:rsidR="00000000" w:rsidRPr="00000000">
        <w:rPr>
          <w:color w:val="000000"/>
          <w:sz w:val="25"/>
          <w:szCs w:val="25"/>
          <w:rtl w:val="0"/>
        </w:rPr>
        <w:t xml:space="preserve"> Examination</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20" w:line="254" w:lineRule="auto"/>
        <w:jc w:val="both"/>
        <w:rPr>
          <w:color w:val="000000"/>
          <w:sz w:val="24"/>
          <w:szCs w:val="24"/>
        </w:rPr>
      </w:pPr>
      <w:r w:rsidDel="00000000" w:rsidR="00000000" w:rsidRPr="00000000">
        <w:rPr>
          <w:color w:val="000000"/>
          <w:sz w:val="24"/>
          <w:szCs w:val="24"/>
          <w:rtl w:val="0"/>
        </w:rPr>
        <w:t xml:space="preserve">Upon arrival, new Ph.D. students will take the </w:t>
      </w:r>
      <w:r w:rsidDel="00000000" w:rsidR="00000000" w:rsidRPr="00000000">
        <w:rPr>
          <w:sz w:val="24"/>
          <w:szCs w:val="24"/>
          <w:rtl w:val="0"/>
        </w:rPr>
        <w:t xml:space="preserve">placement</w:t>
      </w:r>
      <w:r w:rsidDel="00000000" w:rsidR="00000000" w:rsidRPr="00000000">
        <w:rPr>
          <w:color w:val="000000"/>
          <w:sz w:val="24"/>
          <w:szCs w:val="24"/>
          <w:rtl w:val="0"/>
        </w:rPr>
        <w:t xml:space="preserve"> exam. The test will be delivered and autograded via Canvas. Questions will be drawn from a bank of questions approved by the faculty and available to the students prior to the exam. The exam will cover four subjects (classical mechanics, statistical thermodynamics, quantum mechanics, and electrodynamics) at the advanced undergraduate level.  The exam will be 2 hours, and a pass on each subject will be 5/9 questions answered correctly.  Question selection for the exam will be at the discretion of the Graduate Program Coordinator.</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20" w:line="254" w:lineRule="auto"/>
        <w:jc w:val="both"/>
        <w:rPr>
          <w:color w:val="000000"/>
          <w:sz w:val="24"/>
          <w:szCs w:val="24"/>
        </w:rPr>
      </w:pPr>
      <w:r w:rsidDel="00000000" w:rsidR="00000000" w:rsidRPr="00000000">
        <w:rPr>
          <w:color w:val="000000"/>
          <w:sz w:val="24"/>
          <w:szCs w:val="24"/>
          <w:rtl w:val="0"/>
        </w:rPr>
        <w:t xml:space="preserve">Students who pass all parts of the examination will enroll in the six core course curriculum.  Students who fail any part of the examination must take undergraduate level courses in the failed topics (see section XIII of the Physics and Astronomy Graduate Handbook) before enrolling in the corresponding core courses.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6" w:lineRule="auto"/>
        <w:rPr>
          <w:color w:val="000000"/>
          <w:sz w:val="25"/>
          <w:szCs w:val="25"/>
        </w:rPr>
      </w:pPr>
      <w:r w:rsidDel="00000000" w:rsidR="00000000" w:rsidRPr="00000000">
        <w:rPr>
          <w:rtl w:val="0"/>
        </w:rPr>
      </w:r>
    </w:p>
    <w:p w:rsidR="00000000" w:rsidDel="00000000" w:rsidP="00000000" w:rsidRDefault="00000000" w:rsidRPr="00000000" w14:paraId="00000013">
      <w:pPr>
        <w:pStyle w:val="Heading1"/>
        <w:numPr>
          <w:ilvl w:val="0"/>
          <w:numId w:val="1"/>
        </w:numPr>
        <w:tabs>
          <w:tab w:val="left" w:leader="none" w:pos="819"/>
          <w:tab w:val="left" w:leader="none" w:pos="820"/>
        </w:tabs>
        <w:ind w:left="432" w:hanging="432"/>
        <w:rPr/>
      </w:pPr>
      <w:r w:rsidDel="00000000" w:rsidR="00000000" w:rsidRPr="00000000">
        <w:rPr>
          <w:rtl w:val="0"/>
        </w:rPr>
        <w:t xml:space="preserve">Comprehensive Examination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20" w:lineRule="auto"/>
        <w:jc w:val="both"/>
        <w:rPr>
          <w:color w:val="000000"/>
          <w:sz w:val="24"/>
          <w:szCs w:val="24"/>
        </w:rPr>
      </w:pPr>
      <w:r w:rsidDel="00000000" w:rsidR="00000000" w:rsidRPr="00000000">
        <w:rPr>
          <w:color w:val="000000"/>
          <w:sz w:val="24"/>
          <w:szCs w:val="24"/>
          <w:rtl w:val="0"/>
        </w:rPr>
        <w:t xml:space="preserve">Following successful completion of their core courses, students may be invited by their </w:t>
      </w:r>
      <w:r w:rsidDel="00000000" w:rsidR="00000000" w:rsidRPr="00000000">
        <w:rPr>
          <w:sz w:val="24"/>
          <w:szCs w:val="24"/>
          <w:rtl w:val="0"/>
        </w:rPr>
        <w:t xml:space="preserve">A</w:t>
      </w:r>
      <w:r w:rsidDel="00000000" w:rsidR="00000000" w:rsidRPr="00000000">
        <w:rPr>
          <w:color w:val="000000"/>
          <w:sz w:val="24"/>
          <w:szCs w:val="24"/>
          <w:rtl w:val="0"/>
        </w:rPr>
        <w:t xml:space="preserve">dvi</w:t>
      </w:r>
      <w:r w:rsidDel="00000000" w:rsidR="00000000" w:rsidRPr="00000000">
        <w:rPr>
          <w:sz w:val="24"/>
          <w:szCs w:val="24"/>
          <w:rtl w:val="0"/>
        </w:rPr>
        <w:t xml:space="preserve">sory</w:t>
      </w:r>
      <w:r w:rsidDel="00000000" w:rsidR="00000000" w:rsidRPr="00000000">
        <w:rPr>
          <w:color w:val="000000"/>
          <w:sz w:val="24"/>
          <w:szCs w:val="24"/>
          <w:rtl w:val="0"/>
        </w:rPr>
        <w:t xml:space="preserve"> </w:t>
      </w:r>
      <w:r w:rsidDel="00000000" w:rsidR="00000000" w:rsidRPr="00000000">
        <w:rPr>
          <w:sz w:val="24"/>
          <w:szCs w:val="24"/>
          <w:rtl w:val="0"/>
        </w:rPr>
        <w:t xml:space="preserve">C</w:t>
      </w:r>
      <w:r w:rsidDel="00000000" w:rsidR="00000000" w:rsidRPr="00000000">
        <w:rPr>
          <w:color w:val="000000"/>
          <w:sz w:val="24"/>
          <w:szCs w:val="24"/>
          <w:rtl w:val="0"/>
        </w:rPr>
        <w:t xml:space="preserve">ommittee to stand for the Comprehensive Exam. The purpose of this exam is to establish that the student has an adequate foundation in his/her/their subfield to successfully complete a research project leading to a Ph.D. The student must stand for the Comprehensive Examination before the end of the </w:t>
      </w:r>
      <w:r w:rsidDel="00000000" w:rsidR="00000000" w:rsidRPr="00000000">
        <w:rPr>
          <w:color w:val="000000"/>
          <w:sz w:val="24"/>
          <w:szCs w:val="24"/>
          <w:rtl w:val="0"/>
        </w:rPr>
        <w:t xml:space="preserve">sixth semester of their entering the Ph.D. program.</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20" w:lineRule="auto"/>
        <w:jc w:val="both"/>
        <w:rPr>
          <w:color w:val="000000"/>
          <w:sz w:val="24"/>
          <w:szCs w:val="24"/>
        </w:rPr>
      </w:pPr>
      <w:r w:rsidDel="00000000" w:rsidR="00000000" w:rsidRPr="00000000">
        <w:rPr>
          <w:color w:val="000000"/>
          <w:sz w:val="25"/>
          <w:szCs w:val="25"/>
          <w:rtl w:val="0"/>
        </w:rPr>
        <w:t xml:space="preserve">At least six weeks prior to the scheduled Comprehensive Examination date, the student must notify the Graduate Program Coordinator, who will then inform the Invigilation Committee to assign a member to invigilate the exam.The student’s Comprehensive Examination Committee shall consist of their Advisory Committee and one member of the Invigilation Committee (the “invigilator”). </w:t>
      </w:r>
      <w:r w:rsidDel="00000000" w:rsidR="00000000" w:rsidRPr="00000000">
        <w:rPr>
          <w:color w:val="000000"/>
          <w:sz w:val="25"/>
          <w:szCs w:val="25"/>
          <w:rtl w:val="0"/>
        </w:rPr>
        <w:t xml:space="preserve">The invigilator shall not belong to the same sub-field as the student’s field of research. </w:t>
      </w:r>
      <w:r w:rsidDel="00000000" w:rsidR="00000000" w:rsidRPr="00000000">
        <w:rPr>
          <w:color w:val="000000"/>
          <w:sz w:val="24"/>
          <w:szCs w:val="24"/>
          <w:rtl w:val="0"/>
        </w:rPr>
        <w:t xml:space="preserve">At least one month prior to the scheduled Comprehensive Examination date, the student shall submit to </w:t>
      </w:r>
      <w:r w:rsidDel="00000000" w:rsidR="00000000" w:rsidRPr="00000000">
        <w:rPr>
          <w:sz w:val="24"/>
          <w:szCs w:val="24"/>
          <w:rtl w:val="0"/>
        </w:rPr>
        <w:t xml:space="preserve">their</w:t>
      </w:r>
      <w:r w:rsidDel="00000000" w:rsidR="00000000" w:rsidRPr="00000000">
        <w:rPr>
          <w:color w:val="000000"/>
          <w:sz w:val="24"/>
          <w:szCs w:val="24"/>
          <w:rtl w:val="0"/>
        </w:rPr>
        <w:t xml:space="preserve"> </w:t>
      </w:r>
      <w:r w:rsidDel="00000000" w:rsidR="00000000" w:rsidRPr="00000000">
        <w:rPr>
          <w:sz w:val="24"/>
          <w:szCs w:val="24"/>
          <w:rtl w:val="0"/>
        </w:rPr>
        <w:t xml:space="preserve">Comprehensive Examination C</w:t>
      </w:r>
      <w:r w:rsidDel="00000000" w:rsidR="00000000" w:rsidRPr="00000000">
        <w:rPr>
          <w:color w:val="000000"/>
          <w:sz w:val="24"/>
          <w:szCs w:val="24"/>
          <w:rtl w:val="0"/>
        </w:rPr>
        <w:t xml:space="preserve">ommittee a written Ph.D. Research Proposal which documents the proposed research area, the methods to be employed in the research, and the expected outcomes (required format and components can be found in Appendix B). The Ph.D. Research Proposal will be formally presented to the </w:t>
      </w:r>
      <w:r w:rsidDel="00000000" w:rsidR="00000000" w:rsidRPr="00000000">
        <w:rPr>
          <w:sz w:val="24"/>
          <w:szCs w:val="24"/>
          <w:rtl w:val="0"/>
        </w:rPr>
        <w:t xml:space="preserve">Comprehensive Examination C</w:t>
      </w:r>
      <w:r w:rsidDel="00000000" w:rsidR="00000000" w:rsidRPr="00000000">
        <w:rPr>
          <w:color w:val="000000"/>
          <w:sz w:val="24"/>
          <w:szCs w:val="24"/>
          <w:rtl w:val="0"/>
        </w:rPr>
        <w:t xml:space="preserve">ommittee as an oral presentation on the Comprehensive Examination date. </w:t>
      </w:r>
      <w:r w:rsidDel="00000000" w:rsidR="00000000" w:rsidRPr="00000000">
        <w:rPr>
          <w:b w:val="1"/>
          <w:color w:val="000000"/>
          <w:sz w:val="24"/>
          <w:szCs w:val="24"/>
          <w:u w:val="single"/>
          <w:rtl w:val="0"/>
        </w:rPr>
        <w:t xml:space="preserve">Any student not meeting the above requirements shall fail their exam.</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20" w:lineRule="auto"/>
        <w:jc w:val="both"/>
        <w:rPr>
          <w:color w:val="000000"/>
          <w:sz w:val="24"/>
          <w:szCs w:val="24"/>
        </w:rPr>
      </w:pPr>
      <w:r w:rsidDel="00000000" w:rsidR="00000000" w:rsidRPr="00000000">
        <w:rPr>
          <w:color w:val="000000"/>
          <w:sz w:val="24"/>
          <w:szCs w:val="24"/>
          <w:rtl w:val="0"/>
        </w:rPr>
        <w:t xml:space="preserve">The exam shall </w:t>
      </w:r>
      <w:r w:rsidDel="00000000" w:rsidR="00000000" w:rsidRPr="00000000">
        <w:rPr>
          <w:color w:val="000000"/>
          <w:sz w:val="24"/>
          <w:szCs w:val="24"/>
          <w:rtl w:val="0"/>
        </w:rPr>
        <w:t xml:space="preserve">be non-public </w:t>
      </w:r>
      <w:r w:rsidDel="00000000" w:rsidR="00000000" w:rsidRPr="00000000">
        <w:rPr>
          <w:color w:val="000000"/>
          <w:sz w:val="24"/>
          <w:szCs w:val="24"/>
          <w:rtl w:val="0"/>
        </w:rPr>
        <w:t xml:space="preserve">and have three parts:  1) the written PhD Research Proposal, 2) a 30 minutes oral presentation of the thesis topic that is open to the academic public of the department, 3) </w:t>
      </w:r>
      <w:r w:rsidDel="00000000" w:rsidR="00000000" w:rsidRPr="00000000">
        <w:rPr>
          <w:color w:val="000000"/>
          <w:sz w:val="24"/>
          <w:szCs w:val="24"/>
          <w:rtl w:val="0"/>
        </w:rPr>
        <w:t xml:space="preserve">and at least 30 minutes of oral examination of graduate-level physics knowledge relevant to and necessary for the proposed research that is open only to the comprehensive exam committee.</w:t>
      </w:r>
      <w:r w:rsidDel="00000000" w:rsidR="00000000" w:rsidRPr="00000000">
        <w:rPr>
          <w:color w:val="000000"/>
          <w:sz w:val="24"/>
          <w:szCs w:val="24"/>
          <w:rtl w:val="0"/>
        </w:rPr>
        <w:t xml:space="preserve"> </w:t>
      </w:r>
      <w:r w:rsidDel="00000000" w:rsidR="00000000" w:rsidRPr="00000000">
        <w:rPr>
          <w:sz w:val="24"/>
          <w:szCs w:val="24"/>
          <w:rtl w:val="0"/>
        </w:rPr>
        <w:t xml:space="preserve">The criteria listed in Appendix C shall serve as a guideline for expectation and evaluation. The committee chair should ensure that the presentation finishes within 30 minutes. The committee chair and the invigilator should ensure that each committee member has an appropriate amount of time for questioning in part 3). Committee members may attend online, but the student, </w:t>
      </w:r>
      <w:r w:rsidDel="00000000" w:rsidR="00000000" w:rsidRPr="00000000">
        <w:rPr>
          <w:sz w:val="24"/>
          <w:szCs w:val="24"/>
          <w:rtl w:val="0"/>
        </w:rPr>
        <w:t xml:space="preserve">the invigilator</w:t>
      </w:r>
      <w:r w:rsidDel="00000000" w:rsidR="00000000" w:rsidRPr="00000000">
        <w:rPr>
          <w:sz w:val="24"/>
          <w:szCs w:val="24"/>
          <w:rtl w:val="0"/>
        </w:rPr>
        <w:t xml:space="preserve">, and at least one other member of the committee must be present in-person. Exceptions from this attendance policy require approval by the Student Welfare Committee.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20" w:lineRule="auto"/>
        <w:jc w:val="both"/>
        <w:rPr>
          <w:color w:val="000000"/>
          <w:sz w:val="24"/>
          <w:szCs w:val="24"/>
        </w:rPr>
      </w:pPr>
      <w:r w:rsidDel="00000000" w:rsidR="00000000" w:rsidRPr="00000000">
        <w:rPr>
          <w:color w:val="000000"/>
          <w:sz w:val="24"/>
          <w:szCs w:val="24"/>
          <w:rtl w:val="0"/>
        </w:rPr>
        <w:t xml:space="preserve">In addition to forms required by the Graduate School, results of the Comprehensive Examination will also be recorded by the Comprehensive Examination </w:t>
      </w:r>
      <w:r w:rsidDel="00000000" w:rsidR="00000000" w:rsidRPr="00000000">
        <w:rPr>
          <w:sz w:val="24"/>
          <w:szCs w:val="24"/>
          <w:rtl w:val="0"/>
        </w:rPr>
        <w:t xml:space="preserve">C</w:t>
      </w:r>
      <w:r w:rsidDel="00000000" w:rsidR="00000000" w:rsidRPr="00000000">
        <w:rPr>
          <w:color w:val="000000"/>
          <w:sz w:val="24"/>
          <w:szCs w:val="24"/>
          <w:rtl w:val="0"/>
        </w:rPr>
        <w:t xml:space="preserve">ommittee in individual Faculty Evaluation reports (Appendix C) with copies provided to the student and to the Department Chair. Once a student has passed the Comprehensive exam, </w:t>
      </w:r>
      <w:r w:rsidDel="00000000" w:rsidR="00000000" w:rsidRPr="00000000">
        <w:rPr>
          <w:sz w:val="24"/>
          <w:szCs w:val="24"/>
          <w:rtl w:val="0"/>
        </w:rPr>
        <w:t xml:space="preserve">they</w:t>
      </w:r>
      <w:r w:rsidDel="00000000" w:rsidR="00000000" w:rsidRPr="00000000">
        <w:rPr>
          <w:color w:val="000000"/>
          <w:sz w:val="24"/>
          <w:szCs w:val="24"/>
          <w:rtl w:val="0"/>
        </w:rPr>
        <w:t xml:space="preserve"> will be admitted to candidacy for the Ph.D. degree. Students who fail the exam may be invited by their committee to retake the examination a maximum of one time. </w:t>
      </w:r>
      <w:r w:rsidDel="00000000" w:rsidR="00000000" w:rsidRPr="00000000">
        <w:rPr>
          <w:color w:val="000000"/>
          <w:sz w:val="24"/>
          <w:szCs w:val="24"/>
          <w:rtl w:val="0"/>
        </w:rPr>
        <w:t xml:space="preserve">The committee may request the student to retake all or parts of the exam.</w:t>
      </w:r>
      <w:r w:rsidDel="00000000" w:rsidR="00000000" w:rsidRPr="00000000">
        <w:rPr>
          <w:color w:val="000000"/>
          <w:sz w:val="24"/>
          <w:szCs w:val="24"/>
          <w:rtl w:val="0"/>
        </w:rPr>
        <w:t xml:space="preserve"> To gain candidacy, a student must pass the second attempt no more than </w:t>
      </w:r>
      <w:r w:rsidDel="00000000" w:rsidR="00000000" w:rsidRPr="00000000">
        <w:rPr>
          <w:sz w:val="24"/>
          <w:szCs w:val="24"/>
          <w:rtl w:val="0"/>
        </w:rPr>
        <w:t xml:space="preserve">6</w:t>
      </w:r>
      <w:r w:rsidDel="00000000" w:rsidR="00000000" w:rsidRPr="00000000">
        <w:rPr>
          <w:color w:val="000000"/>
          <w:sz w:val="24"/>
          <w:szCs w:val="24"/>
          <w:rtl w:val="0"/>
        </w:rPr>
        <w:t xml:space="preserve"> months after the first attempt.</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019">
      <w:pPr>
        <w:pStyle w:val="Heading1"/>
        <w:numPr>
          <w:ilvl w:val="0"/>
          <w:numId w:val="1"/>
        </w:numPr>
        <w:tabs>
          <w:tab w:val="left" w:leader="none" w:pos="819"/>
          <w:tab w:val="left" w:leader="none" w:pos="820"/>
        </w:tabs>
        <w:ind w:left="432" w:hanging="432"/>
        <w:rPr/>
      </w:pPr>
      <w:r w:rsidDel="00000000" w:rsidR="00000000" w:rsidRPr="00000000">
        <w:rPr>
          <w:rtl w:val="0"/>
        </w:rPr>
        <w:t xml:space="preserve">Students on Academic Probation</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120" w:line="254" w:lineRule="auto"/>
        <w:ind w:right="245"/>
        <w:jc w:val="both"/>
        <w:rPr/>
      </w:pPr>
      <w:r w:rsidDel="00000000" w:rsidR="00000000" w:rsidRPr="00000000">
        <w:rPr>
          <w:color w:val="000000"/>
          <w:sz w:val="24"/>
          <w:szCs w:val="24"/>
          <w:rtl w:val="0"/>
        </w:rPr>
        <w:t xml:space="preserve">At the end of each semester, the GSEC will review the record of any student on academic probation. The GSEC will make a recommendation to the Department Chair on the status of that student. The Department Chair will communicate the recommendation to the Graduate School, which then decides if the student will be allowed to continue to be enrolled in the graduate program or will be dismissed from the program. The Department Chair will communicate the decision in a letter to the student, including any special requirements that the student must fulfill to continue in good standing in the program.</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7" w:lineRule="auto"/>
        <w:rPr>
          <w:color w:val="000000"/>
          <w:sz w:val="25"/>
          <w:szCs w:val="25"/>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819"/>
          <w:tab w:val="left" w:leader="none" w:pos="820"/>
        </w:tabs>
        <w:spacing w:before="1" w:lineRule="auto"/>
        <w:ind w:left="432" w:hanging="432"/>
        <w:rPr/>
      </w:pPr>
      <w:r w:rsidDel="00000000" w:rsidR="00000000" w:rsidRPr="00000000">
        <w:rPr>
          <w:rtl w:val="0"/>
        </w:rPr>
        <w:t xml:space="preserve">Makeup and Procedures of Relevant Committees</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1180"/>
        </w:tabs>
        <w:spacing w:before="120" w:lineRule="auto"/>
        <w:ind w:left="720" w:hanging="432"/>
        <w:rPr>
          <w:b w:val="1"/>
          <w:color w:val="000000"/>
          <w:sz w:val="24"/>
          <w:szCs w:val="24"/>
        </w:rPr>
      </w:pPr>
      <w:r w:rsidDel="00000000" w:rsidR="00000000" w:rsidRPr="00000000">
        <w:rPr>
          <w:b w:val="1"/>
          <w:color w:val="000000"/>
          <w:sz w:val="24"/>
          <w:szCs w:val="24"/>
          <w:rtl w:val="0"/>
        </w:rPr>
        <w:t xml:space="preserve">Graduate Student Evaluation Committee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20" w:line="254" w:lineRule="auto"/>
        <w:ind w:left="720" w:right="115" w:firstLine="0"/>
        <w:jc w:val="both"/>
        <w:rPr>
          <w:color w:val="000000"/>
          <w:sz w:val="24"/>
          <w:szCs w:val="24"/>
        </w:rPr>
      </w:pPr>
      <w:r w:rsidDel="00000000" w:rsidR="00000000" w:rsidRPr="00000000">
        <w:rPr>
          <w:color w:val="000000"/>
          <w:sz w:val="24"/>
          <w:szCs w:val="24"/>
          <w:rtl w:val="0"/>
        </w:rPr>
        <w:t xml:space="preserve">The committee carries out the student evaluations and reports the outcomes, as described in §I.</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The Department Graduate Student Evaluation Committee is constituted in the manner prescribed by the Student Welfare Committee. The membership of this committee should reflect the different research groups in the department as much as possible.</w:t>
      </w:r>
    </w:p>
    <w:p w:rsidR="00000000" w:rsidDel="00000000" w:rsidP="00000000" w:rsidRDefault="00000000" w:rsidRPr="00000000" w14:paraId="0000001F">
      <w:pPr>
        <w:pStyle w:val="Heading1"/>
        <w:numPr>
          <w:ilvl w:val="1"/>
          <w:numId w:val="1"/>
        </w:numPr>
        <w:pBdr>
          <w:top w:space="0" w:sz="0" w:val="nil"/>
          <w:left w:space="0" w:sz="0" w:val="nil"/>
          <w:bottom w:space="0" w:sz="0" w:val="nil"/>
          <w:right w:space="0" w:sz="0" w:val="nil"/>
          <w:between w:space="0" w:sz="0" w:val="nil"/>
        </w:pBdr>
        <w:tabs>
          <w:tab w:val="left" w:leader="none" w:pos="1180"/>
        </w:tabs>
        <w:spacing w:before="85" w:line="254" w:lineRule="auto"/>
        <w:ind w:left="720" w:right="116" w:hanging="432"/>
        <w:rPr/>
      </w:pPr>
      <w:r w:rsidDel="00000000" w:rsidR="00000000" w:rsidRPr="00000000">
        <w:rPr>
          <w:color w:val="000000"/>
          <w:sz w:val="25"/>
          <w:szCs w:val="25"/>
          <w:rtl w:val="0"/>
        </w:rPr>
        <w:t xml:space="preserve">Invigilation</w:t>
      </w:r>
      <w:r w:rsidDel="00000000" w:rsidR="00000000" w:rsidRPr="00000000">
        <w:rPr>
          <w:rtl w:val="0"/>
        </w:rPr>
        <w:t xml:space="preserve"> Committee</w:t>
      </w:r>
    </w:p>
    <w:p w:rsidR="00000000" w:rsidDel="00000000" w:rsidP="00000000" w:rsidRDefault="00000000" w:rsidRPr="00000000" w14:paraId="00000020">
      <w:pPr>
        <w:pStyle w:val="Heading1"/>
        <w:pBdr>
          <w:top w:space="0" w:sz="0" w:val="nil"/>
          <w:left w:space="0" w:sz="0" w:val="nil"/>
          <w:bottom w:space="0" w:sz="0" w:val="nil"/>
          <w:right w:space="0" w:sz="0" w:val="nil"/>
          <w:between w:space="0" w:sz="0" w:val="nil"/>
        </w:pBdr>
        <w:tabs>
          <w:tab w:val="left" w:leader="none" w:pos="1180"/>
        </w:tabs>
        <w:spacing w:before="85" w:line="254" w:lineRule="auto"/>
        <w:ind w:left="720" w:right="116" w:firstLine="0"/>
        <w:jc w:val="both"/>
        <w:rPr>
          <w:b w:val="0"/>
        </w:rPr>
      </w:pPr>
      <w:r w:rsidDel="00000000" w:rsidR="00000000" w:rsidRPr="00000000">
        <w:rPr>
          <w:b w:val="0"/>
          <w:color w:val="000000"/>
          <w:rtl w:val="0"/>
        </w:rPr>
        <w:t xml:space="preserve">The </w:t>
      </w:r>
      <w:r w:rsidDel="00000000" w:rsidR="00000000" w:rsidRPr="00000000">
        <w:rPr>
          <w:b w:val="0"/>
          <w:rtl w:val="0"/>
        </w:rPr>
        <w:t xml:space="preserve">Invigilation </w:t>
      </w:r>
      <w:r w:rsidDel="00000000" w:rsidR="00000000" w:rsidRPr="00000000">
        <w:rPr>
          <w:b w:val="0"/>
          <w:color w:val="000000"/>
          <w:rtl w:val="0"/>
        </w:rPr>
        <w:t xml:space="preserve">Committee ensures that comprehensive examinations are conducted appropriately as described in §III. At least one committee member shall participate in each comprehensive examination</w:t>
      </w:r>
      <w:r w:rsidDel="00000000" w:rsidR="00000000" w:rsidRPr="00000000">
        <w:rPr>
          <w:b w:val="0"/>
          <w:rtl w:val="0"/>
        </w:rPr>
        <w:t xml:space="preserve">.  The Student Welfare Committee will appoint Invigilation Committee members in January once a year, or on an as-needed basis. The number of committee members will be determined annually, with a minimum of one committee member per three expected comprehensive examinations. The Invigilation Committee Chair will be appointed by the Student Welfare Committee. The Invigilation Committee Chair is responsible for appointing invigilators to individual comprehensive exams. In case an exam has to be retaken, and if possible and feasible, the same invigilator should be appointed. </w:t>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85" w:line="254" w:lineRule="auto"/>
        <w:ind w:left="720" w:right="115" w:hanging="43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Comprehensive Examination Committee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85" w:line="254" w:lineRule="auto"/>
        <w:ind w:left="720" w:right="115" w:firstLine="0"/>
        <w:jc w:val="both"/>
        <w:rPr>
          <w:sz w:val="24"/>
          <w:szCs w:val="24"/>
        </w:rPr>
      </w:pPr>
      <w:r w:rsidDel="00000000" w:rsidR="00000000" w:rsidRPr="00000000">
        <w:rPr>
          <w:sz w:val="24"/>
          <w:szCs w:val="24"/>
          <w:rtl w:val="0"/>
        </w:rPr>
        <w:t xml:space="preserve">The Comprehensive Examination Committee conducts the comprehensive exam. It consists of the student’s Advisory Committee and at least one member of the Invigilation Committee who shall not belong to the same subfield as the student’s field of research.</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4" w:lineRule="auto"/>
        <w:rPr>
          <w:color w:val="000000"/>
          <w:sz w:val="24"/>
          <w:szCs w:val="24"/>
        </w:rPr>
      </w:pPr>
      <w:r w:rsidDel="00000000" w:rsidR="00000000" w:rsidRPr="00000000">
        <w:rPr>
          <w:rtl w:val="0"/>
        </w:rPr>
      </w:r>
    </w:p>
    <w:p w:rsidR="00000000" w:rsidDel="00000000" w:rsidP="00000000" w:rsidRDefault="00000000" w:rsidRPr="00000000" w14:paraId="00000024">
      <w:pPr>
        <w:pStyle w:val="Heading1"/>
        <w:numPr>
          <w:ilvl w:val="0"/>
          <w:numId w:val="1"/>
        </w:numPr>
        <w:tabs>
          <w:tab w:val="left" w:leader="none" w:pos="819"/>
          <w:tab w:val="left" w:leader="none" w:pos="820"/>
        </w:tabs>
        <w:spacing w:before="1" w:lineRule="auto"/>
        <w:ind w:left="432" w:hanging="432"/>
        <w:rPr/>
      </w:pPr>
      <w:r w:rsidDel="00000000" w:rsidR="00000000" w:rsidRPr="00000000">
        <w:rPr>
          <w:rtl w:val="0"/>
        </w:rPr>
        <w:t xml:space="preserve">Modifications for Special Circumstances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20" w:line="254" w:lineRule="auto"/>
        <w:ind w:right="115"/>
        <w:jc w:val="both"/>
        <w:rPr>
          <w:color w:val="000000"/>
          <w:sz w:val="24"/>
          <w:szCs w:val="24"/>
        </w:rPr>
      </w:pPr>
      <w:r w:rsidDel="00000000" w:rsidR="00000000" w:rsidRPr="00000000">
        <w:rPr>
          <w:color w:val="000000"/>
          <w:sz w:val="24"/>
          <w:szCs w:val="24"/>
          <w:rtl w:val="0"/>
        </w:rPr>
        <w:t xml:space="preserve">In special circumstances these rules may be modified to accommodate the needs of a student. The modification will be by vote of the Physics and Astronomy Faculty.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upperRoman"/>
      <w:lvlText w:val="%1."/>
      <w:lvlJc w:val="left"/>
      <w:pPr>
        <w:ind w:left="820" w:hanging="720"/>
      </w:pPr>
      <w:rPr>
        <w:rFonts w:ascii="Arial" w:cs="Arial" w:eastAsia="Arial" w:hAnsi="Arial"/>
        <w:b w:val="1"/>
        <w:i w:val="0"/>
        <w:sz w:val="24"/>
        <w:szCs w:val="24"/>
      </w:rPr>
    </w:lvl>
    <w:lvl w:ilvl="1">
      <w:start w:val="1"/>
      <w:numFmt w:val="lowerLetter"/>
      <w:lvlText w:val="%2."/>
      <w:lvlJc w:val="left"/>
      <w:pPr>
        <w:ind w:left="1180" w:hanging="360"/>
      </w:pPr>
      <w:rPr>
        <w:rFonts w:ascii="Arial" w:cs="Arial" w:eastAsia="Arial" w:hAnsi="Arial"/>
        <w:b w:val="1"/>
        <w:i w:val="0"/>
        <w:sz w:val="24"/>
        <w:szCs w:val="24"/>
      </w:rPr>
    </w:lvl>
    <w:lvl w:ilvl="2">
      <w:start w:val="0"/>
      <w:numFmt w:val="bullet"/>
      <w:lvlText w:val="•"/>
      <w:lvlJc w:val="left"/>
      <w:pPr>
        <w:ind w:left="2111" w:hanging="360"/>
      </w:pPr>
      <w:rPr/>
    </w:lvl>
    <w:lvl w:ilvl="3">
      <w:start w:val="0"/>
      <w:numFmt w:val="bullet"/>
      <w:lvlText w:val="•"/>
      <w:lvlJc w:val="left"/>
      <w:pPr>
        <w:ind w:left="3042" w:hanging="360"/>
      </w:pPr>
      <w:rPr/>
    </w:lvl>
    <w:lvl w:ilvl="4">
      <w:start w:val="0"/>
      <w:numFmt w:val="bullet"/>
      <w:lvlText w:val="•"/>
      <w:lvlJc w:val="left"/>
      <w:pPr>
        <w:ind w:left="3973" w:hanging="360"/>
      </w:pPr>
      <w:rPr/>
    </w:lvl>
    <w:lvl w:ilvl="5">
      <w:start w:val="0"/>
      <w:numFmt w:val="bullet"/>
      <w:lvlText w:val="•"/>
      <w:lvlJc w:val="left"/>
      <w:pPr>
        <w:ind w:left="4904" w:hanging="360"/>
      </w:pPr>
      <w:rPr/>
    </w:lvl>
    <w:lvl w:ilvl="6">
      <w:start w:val="0"/>
      <w:numFmt w:val="bullet"/>
      <w:lvlText w:val="•"/>
      <w:lvlJc w:val="left"/>
      <w:pPr>
        <w:ind w:left="5835" w:hanging="360"/>
      </w:pPr>
      <w:rPr/>
    </w:lvl>
    <w:lvl w:ilvl="7">
      <w:start w:val="0"/>
      <w:numFmt w:val="bullet"/>
      <w:lvlText w:val="•"/>
      <w:lvlJc w:val="left"/>
      <w:pPr>
        <w:ind w:left="6766" w:hanging="360"/>
      </w:pPr>
      <w:rPr/>
    </w:lvl>
    <w:lvl w:ilvl="8">
      <w:start w:val="0"/>
      <w:numFmt w:val="bullet"/>
      <w:lvlText w:val="•"/>
      <w:lvlJc w:val="left"/>
      <w:pPr>
        <w:ind w:left="7697" w:hanging="360"/>
      </w:pPr>
      <w:rPr/>
    </w:lvl>
  </w:abstractNum>
  <w:abstractNum w:abstractNumId="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20" w:hanging="72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820" w:hanging="72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ind w:left="820" w:hanging="720"/>
      <w:outlineLvl w:val="0"/>
    </w:pPr>
    <w:rPr>
      <w:b w:val="1"/>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paragraph" w:styleId="Revision">
    <w:name w:val="Revision"/>
    <w:hidden w:val="1"/>
    <w:uiPriority w:val="99"/>
    <w:semiHidden w:val="1"/>
    <w:rsid w:val="00FE5348"/>
    <w:pPr>
      <w:widowControl w:val="1"/>
    </w:pPr>
  </w:style>
  <w:style w:type="paragraph" w:styleId="ListParagraph">
    <w:name w:val="List Paragraph"/>
    <w:basedOn w:val="Normal"/>
    <w:uiPriority w:val="34"/>
    <w:qFormat w:val="1"/>
    <w:rsid w:val="00127702"/>
    <w:pPr>
      <w:ind w:left="720"/>
      <w:contextualSpacing w:val="1"/>
    </w:pPr>
  </w:style>
  <w:style w:type="numbering" w:styleId="CurrentList1" w:customStyle="1">
    <w:name w:val="Current List1"/>
    <w:uiPriority w:val="99"/>
    <w:rsid w:val="00127702"/>
    <w:pPr>
      <w:numPr>
        <w:numId w:val="4"/>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IXu302Ywiyk3ZNB5zzdzW/A+g==">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2023-11-16T16:03:00Z</dcterms:created>
</cp:coreProperties>
</file>